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D51" w:rsidRDefault="00B918E4" w:rsidP="00B918E4">
      <w:pPr>
        <w:jc w:val="center"/>
        <w:rPr>
          <w:b/>
        </w:rPr>
      </w:pPr>
      <w:r w:rsidRPr="00A80463">
        <w:rPr>
          <w:b/>
        </w:rPr>
        <w:t>ESA614/615 Test Results Converter</w:t>
      </w:r>
      <w:r w:rsidR="00E971D6" w:rsidRPr="00A80463">
        <w:rPr>
          <w:b/>
        </w:rPr>
        <w:t xml:space="preserve"> Usage</w:t>
      </w:r>
      <w:r w:rsidRPr="00A80463">
        <w:rPr>
          <w:b/>
        </w:rPr>
        <w:t xml:space="preserve"> </w:t>
      </w:r>
      <w:r w:rsidR="00E971D6" w:rsidRPr="00A80463">
        <w:rPr>
          <w:b/>
        </w:rPr>
        <w:t>I</w:t>
      </w:r>
      <w:r w:rsidRPr="00A80463">
        <w:rPr>
          <w:b/>
        </w:rPr>
        <w:t>nstructions</w:t>
      </w:r>
    </w:p>
    <w:p w:rsidR="00A80463" w:rsidRPr="00A80463" w:rsidRDefault="00A80463" w:rsidP="00B918E4">
      <w:pPr>
        <w:jc w:val="center"/>
        <w:rPr>
          <w:b/>
        </w:rPr>
      </w:pPr>
    </w:p>
    <w:p w:rsidR="00A80463" w:rsidRDefault="00A80463" w:rsidP="00A80463">
      <w:r w:rsidRPr="00A80463">
        <w:rPr>
          <w:b/>
        </w:rPr>
        <w:t>Why this Utility is needed:</w:t>
      </w:r>
      <w:r>
        <w:t xml:space="preserve"> Both the ESA614 and ESA615 save test result files in a proprietary file-type to their respective SD card. To make these files useful, it is necessary to convert them to an industry-standard file-type. The ESA614/615 Test Results Converter changes the proprietary files into .CSV file-type and displays these in a simplified Test Report format for easy archiving and further conversion to .pdf for better security.</w:t>
      </w:r>
    </w:p>
    <w:p w:rsidR="00A80463" w:rsidRDefault="00A80463" w:rsidP="00A80463"/>
    <w:p w:rsidR="00E971D6" w:rsidRDefault="00E971D6" w:rsidP="00E971D6">
      <w:pPr>
        <w:pStyle w:val="ListParagraph"/>
        <w:numPr>
          <w:ilvl w:val="0"/>
          <w:numId w:val="7"/>
        </w:numPr>
      </w:pPr>
      <w:r>
        <w:t>Connect the ESA614 or ESA615 to the PC with a USB cable and power the device on.</w:t>
      </w:r>
    </w:p>
    <w:p w:rsidR="00E971D6" w:rsidRDefault="00E971D6" w:rsidP="00E971D6">
      <w:pPr>
        <w:pStyle w:val="ListParagraph"/>
        <w:numPr>
          <w:ilvl w:val="0"/>
          <w:numId w:val="7"/>
        </w:numPr>
      </w:pPr>
      <w:r>
        <w:t>Open the Fluke ESA Test Results Converter application by double clicking the shortcut</w:t>
      </w:r>
    </w:p>
    <w:p w:rsidR="00E971D6" w:rsidRDefault="00E971D6" w:rsidP="00E971D6">
      <w:pPr>
        <w:pStyle w:val="ListParagraph"/>
        <w:numPr>
          <w:ilvl w:val="0"/>
          <w:numId w:val="8"/>
        </w:numPr>
      </w:pPr>
      <w:r>
        <w:rPr>
          <w:noProof/>
        </w:rPr>
        <w:drawing>
          <wp:inline distT="0" distB="0" distL="0" distR="0" wp14:anchorId="3CBC07E1" wp14:editId="1F689F8B">
            <wp:extent cx="571500" cy="83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1500" cy="838200"/>
                    </a:xfrm>
                    <a:prstGeom prst="rect">
                      <a:avLst/>
                    </a:prstGeom>
                  </pic:spPr>
                </pic:pic>
              </a:graphicData>
            </a:graphic>
          </wp:inline>
        </w:drawing>
      </w:r>
    </w:p>
    <w:p w:rsidR="00E971D6" w:rsidRDefault="00E971D6" w:rsidP="00E971D6">
      <w:pPr>
        <w:pStyle w:val="ListParagraph"/>
        <w:ind w:left="1080"/>
      </w:pPr>
    </w:p>
    <w:p w:rsidR="00E971D6" w:rsidRDefault="00E971D6" w:rsidP="00E971D6">
      <w:pPr>
        <w:pStyle w:val="ListParagraph"/>
        <w:numPr>
          <w:ilvl w:val="0"/>
          <w:numId w:val="7"/>
        </w:numPr>
      </w:pPr>
      <w:r>
        <w:t>Set the destination path for all .CSV result files generated by clicking on Browse… under the header “Select Export Output Folder (CSV)”, then select the desired local folder and click OK.</w:t>
      </w:r>
    </w:p>
    <w:p w:rsidR="00E971D6" w:rsidRDefault="00E971D6" w:rsidP="00E971D6">
      <w:pPr>
        <w:pStyle w:val="ListParagraph"/>
        <w:numPr>
          <w:ilvl w:val="0"/>
          <w:numId w:val="9"/>
        </w:numPr>
      </w:pPr>
      <w:r>
        <w:rPr>
          <w:noProof/>
        </w:rPr>
        <w:drawing>
          <wp:inline distT="0" distB="0" distL="0" distR="0" wp14:anchorId="6CD9694B" wp14:editId="54852443">
            <wp:extent cx="4102873" cy="303726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74233" cy="3090093"/>
                    </a:xfrm>
                    <a:prstGeom prst="rect">
                      <a:avLst/>
                    </a:prstGeom>
                  </pic:spPr>
                </pic:pic>
              </a:graphicData>
            </a:graphic>
          </wp:inline>
        </w:drawing>
      </w:r>
    </w:p>
    <w:p w:rsidR="00E971D6" w:rsidRDefault="00E971D6" w:rsidP="00E971D6">
      <w:pPr>
        <w:pStyle w:val="ListParagraph"/>
        <w:ind w:left="1080"/>
      </w:pPr>
    </w:p>
    <w:p w:rsidR="00E971D6" w:rsidRDefault="00E971D6" w:rsidP="00E971D6">
      <w:pPr>
        <w:pStyle w:val="ListParagraph"/>
        <w:numPr>
          <w:ilvl w:val="0"/>
          <w:numId w:val="9"/>
        </w:numPr>
      </w:pPr>
      <w:r>
        <w:rPr>
          <w:noProof/>
        </w:rPr>
        <w:lastRenderedPageBreak/>
        <w:drawing>
          <wp:inline distT="0" distB="0" distL="0" distR="0" wp14:anchorId="7E64651E" wp14:editId="7BA58230">
            <wp:extent cx="2594709" cy="291812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05651" cy="2930435"/>
                    </a:xfrm>
                    <a:prstGeom prst="rect">
                      <a:avLst/>
                    </a:prstGeom>
                  </pic:spPr>
                </pic:pic>
              </a:graphicData>
            </a:graphic>
          </wp:inline>
        </w:drawing>
      </w:r>
    </w:p>
    <w:p w:rsidR="00E971D6" w:rsidRDefault="00E971D6" w:rsidP="00E971D6">
      <w:pPr>
        <w:pStyle w:val="ListParagraph"/>
      </w:pPr>
    </w:p>
    <w:p w:rsidR="00B918E4" w:rsidRDefault="00E971D6" w:rsidP="00E971D6">
      <w:pPr>
        <w:pStyle w:val="ListParagraph"/>
        <w:numPr>
          <w:ilvl w:val="0"/>
          <w:numId w:val="7"/>
        </w:numPr>
      </w:pPr>
      <w:r>
        <w:t>Under the header “COM Port Settings”</w:t>
      </w:r>
      <w:r w:rsidR="00C50939">
        <w:t>:</w:t>
      </w:r>
      <w:r>
        <w:t xml:space="preserve"> </w:t>
      </w:r>
      <w:r w:rsidR="00C50939">
        <w:t>C</w:t>
      </w:r>
      <w:r>
        <w:t>lick Refresh to generate a new list of available COM ports, then select the</w:t>
      </w:r>
      <w:r w:rsidR="00C50939">
        <w:t xml:space="preserve"> COM port associated with the ESA device connected. </w:t>
      </w:r>
    </w:p>
    <w:p w:rsidR="00C50939" w:rsidRDefault="00C50939" w:rsidP="00C50939">
      <w:pPr>
        <w:pStyle w:val="ListParagraph"/>
      </w:pPr>
    </w:p>
    <w:p w:rsidR="00C50939" w:rsidRDefault="00C50939" w:rsidP="00C50939">
      <w:pPr>
        <w:pStyle w:val="ListParagraph"/>
        <w:numPr>
          <w:ilvl w:val="0"/>
          <w:numId w:val="10"/>
        </w:numPr>
      </w:pPr>
      <w:r w:rsidRPr="00C50939">
        <w:rPr>
          <w:noProof/>
        </w:rPr>
        <w:drawing>
          <wp:inline distT="0" distB="0" distL="0" distR="0" wp14:anchorId="5419C888" wp14:editId="0FC12E69">
            <wp:extent cx="2146852" cy="1723225"/>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80466" cy="1750206"/>
                    </a:xfrm>
                    <a:prstGeom prst="rect">
                      <a:avLst/>
                    </a:prstGeom>
                  </pic:spPr>
                </pic:pic>
              </a:graphicData>
            </a:graphic>
          </wp:inline>
        </w:drawing>
      </w:r>
    </w:p>
    <w:p w:rsidR="00C50939" w:rsidRDefault="00C50939" w:rsidP="00C50939">
      <w:pPr>
        <w:pStyle w:val="ListParagraph"/>
        <w:ind w:left="1080"/>
      </w:pPr>
    </w:p>
    <w:p w:rsidR="00B918E4" w:rsidRDefault="00C50939" w:rsidP="00C50939">
      <w:pPr>
        <w:pStyle w:val="ListParagraph"/>
        <w:numPr>
          <w:ilvl w:val="0"/>
          <w:numId w:val="7"/>
        </w:numPr>
      </w:pPr>
      <w:r>
        <w:t xml:space="preserve">Click Get List of Stored Test Results to populate the list of available files on the device to convert. </w:t>
      </w:r>
    </w:p>
    <w:p w:rsidR="00C50939" w:rsidRDefault="00C50939" w:rsidP="00C50939">
      <w:pPr>
        <w:pStyle w:val="ListParagraph"/>
        <w:numPr>
          <w:ilvl w:val="0"/>
          <w:numId w:val="7"/>
        </w:numPr>
      </w:pPr>
      <w:r>
        <w:t xml:space="preserve">Use the arrow keys to migrate test files back and forth between the two list boxes. Files placed to the box with the header “Test Results to Convert” are those that will be converted. The single arrow moves only the selected files, the double arrow moves all files from one list to the other. </w:t>
      </w:r>
    </w:p>
    <w:p w:rsidR="00C50939" w:rsidRDefault="00C50939" w:rsidP="00C50939">
      <w:pPr>
        <w:pStyle w:val="ListParagraph"/>
        <w:numPr>
          <w:ilvl w:val="0"/>
          <w:numId w:val="12"/>
        </w:numPr>
      </w:pPr>
      <w:r>
        <w:rPr>
          <w:noProof/>
        </w:rPr>
        <w:lastRenderedPageBreak/>
        <w:drawing>
          <wp:inline distT="0" distB="0" distL="0" distR="0" wp14:anchorId="215E6EBF" wp14:editId="0AFC8740">
            <wp:extent cx="4834393" cy="1924977"/>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15727" cy="1957363"/>
                    </a:xfrm>
                    <a:prstGeom prst="rect">
                      <a:avLst/>
                    </a:prstGeom>
                  </pic:spPr>
                </pic:pic>
              </a:graphicData>
            </a:graphic>
          </wp:inline>
        </w:drawing>
      </w:r>
    </w:p>
    <w:p w:rsidR="00C50939" w:rsidRDefault="00C50939" w:rsidP="00C50939"/>
    <w:p w:rsidR="00C50939" w:rsidRDefault="00C50939" w:rsidP="00C50939">
      <w:pPr>
        <w:pStyle w:val="ListParagraph"/>
        <w:numPr>
          <w:ilvl w:val="0"/>
          <w:numId w:val="12"/>
        </w:numPr>
      </w:pPr>
      <w:r>
        <w:rPr>
          <w:noProof/>
        </w:rPr>
        <w:drawing>
          <wp:inline distT="0" distB="0" distL="0" distR="0" wp14:anchorId="79042461" wp14:editId="7AB3D2FA">
            <wp:extent cx="4969565" cy="1912433"/>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64120" cy="1948821"/>
                    </a:xfrm>
                    <a:prstGeom prst="rect">
                      <a:avLst/>
                    </a:prstGeom>
                  </pic:spPr>
                </pic:pic>
              </a:graphicData>
            </a:graphic>
          </wp:inline>
        </w:drawing>
      </w:r>
    </w:p>
    <w:p w:rsidR="00C50939" w:rsidRDefault="00C50939" w:rsidP="00C50939">
      <w:pPr>
        <w:pStyle w:val="ListParagraph"/>
      </w:pPr>
    </w:p>
    <w:p w:rsidR="00C50939" w:rsidRDefault="00C50939" w:rsidP="00C50939">
      <w:pPr>
        <w:pStyle w:val="ListParagraph"/>
      </w:pPr>
    </w:p>
    <w:p w:rsidR="00300A0F" w:rsidRDefault="00C50939" w:rsidP="00300A0F">
      <w:pPr>
        <w:pStyle w:val="ListParagraph"/>
        <w:numPr>
          <w:ilvl w:val="0"/>
          <w:numId w:val="7"/>
        </w:numPr>
      </w:pPr>
      <w:r>
        <w:t xml:space="preserve">After the desired files have been placed in the “Test Results to Convert” box, click Convert to CSV to begin the conversion process. </w:t>
      </w:r>
      <w:r w:rsidR="00300A0F">
        <w:t>A status line will appear showing progress of the conversion.</w:t>
      </w:r>
    </w:p>
    <w:p w:rsidR="00300A0F" w:rsidRDefault="00300A0F" w:rsidP="00300A0F">
      <w:pPr>
        <w:pStyle w:val="ListParagraph"/>
      </w:pPr>
    </w:p>
    <w:p w:rsidR="00300A0F" w:rsidRDefault="00300A0F" w:rsidP="00300A0F">
      <w:pPr>
        <w:pStyle w:val="ListParagraph"/>
        <w:numPr>
          <w:ilvl w:val="0"/>
          <w:numId w:val="14"/>
        </w:numPr>
      </w:pPr>
      <w:r>
        <w:rPr>
          <w:noProof/>
        </w:rPr>
        <w:drawing>
          <wp:inline distT="0" distB="0" distL="0" distR="0" wp14:anchorId="212FBCEA" wp14:editId="3C12A625">
            <wp:extent cx="4893900" cy="2107096"/>
            <wp:effectExtent l="0" t="0" r="254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51593" cy="2131936"/>
                    </a:xfrm>
                    <a:prstGeom prst="rect">
                      <a:avLst/>
                    </a:prstGeom>
                  </pic:spPr>
                </pic:pic>
              </a:graphicData>
            </a:graphic>
          </wp:inline>
        </w:drawing>
      </w:r>
    </w:p>
    <w:p w:rsidR="00300A0F" w:rsidRDefault="00300A0F" w:rsidP="00300A0F"/>
    <w:p w:rsidR="00210A09" w:rsidRDefault="00210A09" w:rsidP="00300A0F">
      <w:bookmarkStart w:id="0" w:name="_GoBack"/>
      <w:bookmarkEnd w:id="0"/>
    </w:p>
    <w:p w:rsidR="00300A0F" w:rsidRDefault="00300A0F" w:rsidP="00300A0F">
      <w:pPr>
        <w:pStyle w:val="ListParagraph"/>
        <w:numPr>
          <w:ilvl w:val="0"/>
          <w:numId w:val="7"/>
        </w:numPr>
      </w:pPr>
      <w:r>
        <w:lastRenderedPageBreak/>
        <w:t>Wait for the utility to convert all the result files. A message will appear at the bottom of the utility indicating the results of the conversion.</w:t>
      </w:r>
    </w:p>
    <w:p w:rsidR="00300A0F" w:rsidRDefault="00300A0F" w:rsidP="00300A0F">
      <w:pPr>
        <w:pStyle w:val="ListParagraph"/>
      </w:pPr>
    </w:p>
    <w:p w:rsidR="00300A0F" w:rsidRDefault="00300A0F" w:rsidP="00300A0F">
      <w:pPr>
        <w:pStyle w:val="ListParagraph"/>
        <w:numPr>
          <w:ilvl w:val="0"/>
          <w:numId w:val="15"/>
        </w:numPr>
      </w:pPr>
      <w:r>
        <w:rPr>
          <w:noProof/>
        </w:rPr>
        <w:drawing>
          <wp:inline distT="0" distB="0" distL="0" distR="0" wp14:anchorId="0B9DC6CF" wp14:editId="3F917401">
            <wp:extent cx="4874149" cy="1912166"/>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24110" cy="1931766"/>
                    </a:xfrm>
                    <a:prstGeom prst="rect">
                      <a:avLst/>
                    </a:prstGeom>
                  </pic:spPr>
                </pic:pic>
              </a:graphicData>
            </a:graphic>
          </wp:inline>
        </w:drawing>
      </w:r>
    </w:p>
    <w:p w:rsidR="00300A0F" w:rsidRDefault="00300A0F" w:rsidP="00300A0F"/>
    <w:p w:rsidR="00300A0F" w:rsidRDefault="00300A0F" w:rsidP="00300A0F">
      <w:pPr>
        <w:pStyle w:val="ListParagraph"/>
        <w:numPr>
          <w:ilvl w:val="0"/>
          <w:numId w:val="7"/>
        </w:numPr>
      </w:pPr>
      <w:r>
        <w:t xml:space="preserve">The files converted to .CSV format can now be found in the destination folder set in step 3 of this document. </w:t>
      </w:r>
      <w:r w:rsidR="001375B5">
        <w:t xml:space="preserve">Open these in Microsoft Excel for viewing, editing and printing, the files can be saved to a new location after being converted if desired. </w:t>
      </w:r>
    </w:p>
    <w:sectPr w:rsidR="00300A0F">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CAA" w:rsidRDefault="006F4CAA" w:rsidP="00B918E4">
      <w:pPr>
        <w:spacing w:after="0" w:line="240" w:lineRule="auto"/>
      </w:pPr>
      <w:r>
        <w:separator/>
      </w:r>
    </w:p>
  </w:endnote>
  <w:endnote w:type="continuationSeparator" w:id="0">
    <w:p w:rsidR="006F4CAA" w:rsidRDefault="006F4CAA" w:rsidP="00B9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 Extend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ton Regular">
    <w:altName w:val="Cambria"/>
    <w:panose1 w:val="00000000000000000000"/>
    <w:charset w:val="00"/>
    <w:family w:val="roman"/>
    <w:notTrueType/>
    <w:pitch w:val="variable"/>
    <w:sig w:usb0="00000003" w:usb1="00000000" w:usb2="00000000" w:usb3="00000000" w:csb0="00000001" w:csb1="00000000"/>
  </w:font>
  <w:font w:name="Boton Light">
    <w:altName w:val="Cambria"/>
    <w:panose1 w:val="00000000000000000000"/>
    <w:charset w:val="00"/>
    <w:family w:val="roman"/>
    <w:notTrueType/>
    <w:pitch w:val="variable"/>
    <w:sig w:usb0="00000003" w:usb1="00000000" w:usb2="00000000" w:usb3="00000000" w:csb0="00000001" w:csb1="00000000"/>
  </w:font>
  <w:font w:name="Boton Bold">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E4" w:rsidRDefault="00B918E4" w:rsidP="00B918E4">
    <w:pPr>
      <w:pStyle w:val="Footer"/>
      <w:pBdr>
        <w:bottom w:val="single" w:sz="4" w:space="1" w:color="FFE812"/>
      </w:pBdr>
      <w:tabs>
        <w:tab w:val="left" w:pos="4400"/>
        <w:tab w:val="left" w:pos="5800"/>
        <w:tab w:val="left" w:pos="7200"/>
      </w:tabs>
      <w:rPr>
        <w:rFonts w:ascii="Boton Regular" w:hAnsi="Boton Regular"/>
        <w:sz w:val="14"/>
      </w:rPr>
    </w:pPr>
    <w:r>
      <w:rPr>
        <w:rFonts w:ascii="HelveticaNeue Extended" w:hAnsi="HelveticaNeue Extended" w:cs="Arial"/>
        <w:b/>
        <w:bCs/>
        <w:sz w:val="14"/>
      </w:rPr>
      <w:t>Fluke Biomedical</w:t>
    </w:r>
    <w:r>
      <w:rPr>
        <w:rFonts w:ascii="Boton Light" w:hAnsi="Boton Light"/>
        <w:sz w:val="14"/>
      </w:rPr>
      <w:tab/>
    </w:r>
    <w:r>
      <w:rPr>
        <w:rFonts w:ascii="Boton Regular" w:hAnsi="Boton Regular"/>
        <w:sz w:val="14"/>
      </w:rPr>
      <w:t>Telephone</w:t>
    </w:r>
    <w:r>
      <w:rPr>
        <w:rFonts w:ascii="Boton Regular" w:hAnsi="Boton Regular"/>
        <w:sz w:val="14"/>
      </w:rPr>
      <w:tab/>
      <w:t>Facsimile</w:t>
    </w:r>
    <w:r>
      <w:rPr>
        <w:rFonts w:ascii="Boton Regular" w:hAnsi="Boton Regular"/>
        <w:sz w:val="14"/>
      </w:rPr>
      <w:tab/>
      <w:t>Internet</w:t>
    </w:r>
  </w:p>
  <w:p w:rsidR="00B918E4" w:rsidRPr="00B918E4" w:rsidRDefault="00B918E4" w:rsidP="00B918E4">
    <w:pPr>
      <w:pStyle w:val="Footer"/>
      <w:tabs>
        <w:tab w:val="left" w:pos="4400"/>
        <w:tab w:val="left" w:pos="5800"/>
        <w:tab w:val="left" w:pos="7200"/>
      </w:tabs>
      <w:rPr>
        <w:rFonts w:ascii="Boton Bold" w:hAnsi="Boton Bold"/>
        <w:lang w:val="it-IT"/>
      </w:rPr>
    </w:pPr>
    <w:r w:rsidRPr="00FE75DA">
      <w:rPr>
        <w:rFonts w:ascii="HelveticaNeue Extended" w:hAnsi="HelveticaNeue Extended"/>
        <w:sz w:val="14"/>
        <w:lang w:val="it-IT"/>
      </w:rPr>
      <w:t xml:space="preserve">PO Box 9090, Everett WA </w:t>
    </w:r>
    <w:r>
      <w:rPr>
        <w:rFonts w:ascii="HelveticaNeue Extended" w:hAnsi="HelveticaNeue Extended"/>
        <w:sz w:val="14"/>
        <w:lang w:val="it-IT"/>
      </w:rPr>
      <w:t>98206-9090</w:t>
    </w:r>
    <w:r w:rsidRPr="00FE75DA">
      <w:rPr>
        <w:rFonts w:ascii="HelveticaNeue Extended" w:hAnsi="HelveticaNeue Extended"/>
        <w:sz w:val="14"/>
        <w:lang w:val="it-IT"/>
      </w:rPr>
      <w:t xml:space="preserve"> USA</w:t>
    </w:r>
    <w:r w:rsidRPr="00FE75DA">
      <w:rPr>
        <w:rFonts w:ascii="Boton Light" w:hAnsi="Boton Light"/>
        <w:sz w:val="14"/>
        <w:lang w:val="it-IT"/>
      </w:rPr>
      <w:tab/>
    </w:r>
    <w:r w:rsidRPr="00FE75DA">
      <w:rPr>
        <w:rFonts w:ascii="Boton Bold" w:hAnsi="Boton Bold"/>
        <w:sz w:val="14"/>
        <w:lang w:val="it-IT"/>
      </w:rPr>
      <w:t>440.248.9300</w:t>
    </w:r>
    <w:r w:rsidRPr="00FE75DA">
      <w:rPr>
        <w:rFonts w:ascii="Boton Bold" w:hAnsi="Boton Bold"/>
        <w:sz w:val="14"/>
        <w:lang w:val="it-IT"/>
      </w:rPr>
      <w:tab/>
      <w:t>440.349.2307</w:t>
    </w:r>
    <w:r w:rsidRPr="00FE75DA">
      <w:rPr>
        <w:rFonts w:ascii="Boton Bold" w:hAnsi="Boton Bold"/>
        <w:sz w:val="14"/>
        <w:lang w:val="it-IT"/>
      </w:rPr>
      <w:tab/>
      <w:t>www.flukebiomedical.com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CAA" w:rsidRDefault="006F4CAA" w:rsidP="00B918E4">
      <w:pPr>
        <w:spacing w:after="0" w:line="240" w:lineRule="auto"/>
      </w:pPr>
      <w:r>
        <w:separator/>
      </w:r>
    </w:p>
  </w:footnote>
  <w:footnote w:type="continuationSeparator" w:id="0">
    <w:p w:rsidR="006F4CAA" w:rsidRDefault="006F4CAA" w:rsidP="00B918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E4" w:rsidRDefault="00B918E4">
    <w:pPr>
      <w:pStyle w:val="Header"/>
    </w:pPr>
    <w:r>
      <w:rPr>
        <w:noProof/>
      </w:rPr>
      <w:drawing>
        <wp:anchor distT="0" distB="0" distL="114300" distR="114300" simplePos="0" relativeHeight="251658240" behindDoc="1" locked="0" layoutInCell="1" allowOverlap="1">
          <wp:simplePos x="0" y="0"/>
          <wp:positionH relativeFrom="column">
            <wp:posOffset>5124450</wp:posOffset>
          </wp:positionH>
          <wp:positionV relativeFrom="paragraph">
            <wp:posOffset>-266700</wp:posOffset>
          </wp:positionV>
          <wp:extent cx="1714500" cy="575945"/>
          <wp:effectExtent l="0" t="0" r="0" b="0"/>
          <wp:wrapNone/>
          <wp:docPr id="1" name="Picture 1" descr="Fluke_BioMedical%20logo(109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uke_BioMedical%20logo(109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75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8E4" w:rsidRDefault="00B918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007E"/>
    <w:multiLevelType w:val="hybridMultilevel"/>
    <w:tmpl w:val="0F523F22"/>
    <w:lvl w:ilvl="0" w:tplc="92F447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9D0781"/>
    <w:multiLevelType w:val="hybridMultilevel"/>
    <w:tmpl w:val="85BE490C"/>
    <w:lvl w:ilvl="0" w:tplc="74E02E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2B64A9"/>
    <w:multiLevelType w:val="hybridMultilevel"/>
    <w:tmpl w:val="AEEC3A2A"/>
    <w:lvl w:ilvl="0" w:tplc="7B90B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112D5F"/>
    <w:multiLevelType w:val="hybridMultilevel"/>
    <w:tmpl w:val="DE840242"/>
    <w:lvl w:ilvl="0" w:tplc="C712B8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035073"/>
    <w:multiLevelType w:val="hybridMultilevel"/>
    <w:tmpl w:val="C6949998"/>
    <w:lvl w:ilvl="0" w:tplc="EDCC42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412DCA"/>
    <w:multiLevelType w:val="hybridMultilevel"/>
    <w:tmpl w:val="034246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D56E01"/>
    <w:multiLevelType w:val="hybridMultilevel"/>
    <w:tmpl w:val="CC9AD346"/>
    <w:lvl w:ilvl="0" w:tplc="C7B633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1C3392"/>
    <w:multiLevelType w:val="hybridMultilevel"/>
    <w:tmpl w:val="E118D288"/>
    <w:lvl w:ilvl="0" w:tplc="F3F6AD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2764859"/>
    <w:multiLevelType w:val="hybridMultilevel"/>
    <w:tmpl w:val="3C6A27BE"/>
    <w:lvl w:ilvl="0" w:tplc="2004BB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5A44031"/>
    <w:multiLevelType w:val="hybridMultilevel"/>
    <w:tmpl w:val="3BE080BE"/>
    <w:lvl w:ilvl="0" w:tplc="2BC20F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B03952"/>
    <w:multiLevelType w:val="hybridMultilevel"/>
    <w:tmpl w:val="119E41BE"/>
    <w:lvl w:ilvl="0" w:tplc="40D24C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D067C6C"/>
    <w:multiLevelType w:val="hybridMultilevel"/>
    <w:tmpl w:val="6A1057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B43463"/>
    <w:multiLevelType w:val="hybridMultilevel"/>
    <w:tmpl w:val="A89AD1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0165F6"/>
    <w:multiLevelType w:val="hybridMultilevel"/>
    <w:tmpl w:val="199CB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ED7347"/>
    <w:multiLevelType w:val="hybridMultilevel"/>
    <w:tmpl w:val="5F7CB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4"/>
  </w:num>
  <w:num w:numId="4">
    <w:abstractNumId w:val="1"/>
  </w:num>
  <w:num w:numId="5">
    <w:abstractNumId w:val="9"/>
  </w:num>
  <w:num w:numId="6">
    <w:abstractNumId w:val="7"/>
  </w:num>
  <w:num w:numId="7">
    <w:abstractNumId w:val="13"/>
  </w:num>
  <w:num w:numId="8">
    <w:abstractNumId w:val="6"/>
  </w:num>
  <w:num w:numId="9">
    <w:abstractNumId w:val="10"/>
  </w:num>
  <w:num w:numId="10">
    <w:abstractNumId w:val="0"/>
  </w:num>
  <w:num w:numId="11">
    <w:abstractNumId w:val="3"/>
  </w:num>
  <w:num w:numId="12">
    <w:abstractNumId w:val="11"/>
  </w:num>
  <w:num w:numId="13">
    <w:abstractNumId w:val="2"/>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E4"/>
    <w:rsid w:val="001375B5"/>
    <w:rsid w:val="00210A09"/>
    <w:rsid w:val="00300A0F"/>
    <w:rsid w:val="004360C6"/>
    <w:rsid w:val="006F4CAA"/>
    <w:rsid w:val="00995F26"/>
    <w:rsid w:val="00A80463"/>
    <w:rsid w:val="00B55ADE"/>
    <w:rsid w:val="00B918E4"/>
    <w:rsid w:val="00C50939"/>
    <w:rsid w:val="00DA3D51"/>
    <w:rsid w:val="00E971D6"/>
    <w:rsid w:val="00F520D6"/>
    <w:rsid w:val="00F52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8B9DF"/>
  <w15:chartTrackingRefBased/>
  <w15:docId w15:val="{088D8796-61FB-4C03-A76F-384D0A9E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8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8E4"/>
  </w:style>
  <w:style w:type="paragraph" w:styleId="Footer">
    <w:name w:val="footer"/>
    <w:basedOn w:val="Normal"/>
    <w:link w:val="FooterChar"/>
    <w:unhideWhenUsed/>
    <w:rsid w:val="00B918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8E4"/>
  </w:style>
  <w:style w:type="paragraph" w:styleId="ListParagraph">
    <w:name w:val="List Paragraph"/>
    <w:basedOn w:val="Normal"/>
    <w:uiPriority w:val="34"/>
    <w:qFormat/>
    <w:rsid w:val="00B918E4"/>
    <w:pPr>
      <w:ind w:left="720"/>
      <w:contextualSpacing/>
    </w:pPr>
  </w:style>
  <w:style w:type="paragraph" w:styleId="BalloonText">
    <w:name w:val="Balloon Text"/>
    <w:basedOn w:val="Normal"/>
    <w:link w:val="BalloonTextChar"/>
    <w:uiPriority w:val="99"/>
    <w:semiHidden/>
    <w:unhideWhenUsed/>
    <w:rsid w:val="00B918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8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33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Koller, Craig M</dc:creator>
  <cp:keywords/>
  <dc:description/>
  <cp:lastModifiedBy>Koller, Craig M</cp:lastModifiedBy>
  <cp:revision>6</cp:revision>
  <dcterms:created xsi:type="dcterms:W3CDTF">2020-01-09T00:27:00Z</dcterms:created>
  <dcterms:modified xsi:type="dcterms:W3CDTF">2020-01-16T18:12:00Z</dcterms:modified>
</cp:coreProperties>
</file>